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6.377952755905" w:type="dxa"/>
        <w:jc w:val="center"/>
        <w:tblLayout w:type="fixed"/>
        <w:tblLook w:val="0600"/>
      </w:tblPr>
      <w:tblGrid>
        <w:gridCol w:w="1350"/>
        <w:gridCol w:w="930"/>
        <w:gridCol w:w="2655"/>
        <w:gridCol w:w="2175"/>
        <w:gridCol w:w="2256.377952755906"/>
        <w:tblGridChange w:id="0">
          <w:tblGrid>
            <w:gridCol w:w="1350"/>
            <w:gridCol w:w="930"/>
            <w:gridCol w:w="2655"/>
            <w:gridCol w:w="2175"/>
            <w:gridCol w:w="2256.377952755906"/>
          </w:tblGrid>
        </w:tblGridChange>
      </w:tblGrid>
      <w:tr>
        <w:trPr>
          <w:cantSplit w:val="0"/>
          <w:trHeight w:val="24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133350</wp:posOffset>
                  </wp:positionV>
                  <wp:extent cx="546100" cy="546100"/>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1"/>
                <w:sz w:val="20"/>
                <w:szCs w:val="20"/>
                <w:shd w:fill="cccccc" w:val="clear"/>
              </w:rPr>
            </w:pPr>
            <w:r w:rsidDel="00000000" w:rsidR="00000000" w:rsidRPr="00000000">
              <w:rPr>
                <w:sz w:val="18"/>
                <w:szCs w:val="18"/>
                <w:shd w:fill="cccccc" w:val="clear"/>
                <w:rtl w:val="0"/>
              </w:rPr>
              <w:t xml:space="preserve">seule la version informatique fait foi</w:t>
            </w:r>
            <w:r w:rsidDel="00000000" w:rsidR="00000000" w:rsidRPr="00000000">
              <w:rPr>
                <w:rtl w:val="0"/>
              </w:rPr>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Gestion des “layouts”</w:t>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VALIDATION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OBJET DE LA REVISION</w:t>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NOM</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NF525</w:t>
            </w: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22/09/2016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19/10/2016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Ajout des éléments écran additionnel</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14/12/2016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Publication Google Site</w:t>
            </w:r>
          </w:p>
        </w:tc>
      </w:tr>
    </w:tbl>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sz w:val="20"/>
          <w:szCs w:val="20"/>
          <w:rtl w:val="0"/>
        </w:rPr>
        <w:t xml:space="preserve">La gestion des “Layouts” permet </w:t>
      </w:r>
      <w:r w:rsidDel="00000000" w:rsidR="00000000" w:rsidRPr="00000000">
        <w:rPr>
          <w:rFonts w:ascii="Trebuchet MS" w:cs="Trebuchet MS" w:eastAsia="Trebuchet MS" w:hAnsi="Trebuchet MS"/>
          <w:color w:val="222222"/>
          <w:sz w:val="20"/>
          <w:szCs w:val="20"/>
          <w:highlight w:val="white"/>
          <w:rtl w:val="0"/>
        </w:rPr>
        <w:t xml:space="preserve">d'agencer les différents composants de l'interface de Neptis (version 7079 minimum) comme vous le souhaitez.</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b w:val="1"/>
          <w:color w:val="222222"/>
          <w:sz w:val="20"/>
          <w:szCs w:val="20"/>
          <w:highlight w:val="white"/>
        </w:rPr>
      </w:pPr>
      <w:r w:rsidDel="00000000" w:rsidR="00000000" w:rsidRPr="00000000">
        <w:rPr>
          <w:rFonts w:ascii="Trebuchet MS" w:cs="Trebuchet MS" w:eastAsia="Trebuchet MS" w:hAnsi="Trebuchet MS"/>
          <w:b w:val="1"/>
          <w:color w:val="222222"/>
          <w:sz w:val="20"/>
          <w:szCs w:val="20"/>
          <w:highlight w:val="white"/>
          <w:rtl w:val="0"/>
        </w:rPr>
        <w:t xml:space="preserve">Layouts: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Pour définir de la position des différent éléments de l’écran de vente, il est divisé en 100 lignes et 100 colonnes.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Exemple de l’écran standard :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Pr>
        <w:drawing>
          <wp:inline distB="114300" distT="114300" distL="114300" distR="114300">
            <wp:extent cx="3686175" cy="2647950"/>
            <wp:effectExtent b="0" l="0" r="0" t="0"/>
            <wp:docPr id="1"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368617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Ils sont définis dans un fichier LayoutConfig.xml (dans le dossier Config de l'application). Un fichier LayoutConfig.xml.exemple est fourni avec la mise à jour pour vous donner un exemple.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Dans ce fichier, chaque "bloc" &lt;layout&gt; permet de décrire un agencement de l'interface et de les positionner les unes par rapport aux autres. Les zones supportées sont :</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Les quatre grilles de boutons (FONCTIONS, FAMILLES, CLAVIER et VOLANTE)</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Le pavé numérique</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Le ticket</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Le "header" (la barre bleue en haut de l'écran)</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La zone "Filler" qui affiche la grille des commentaires optionnels ou des articles pour compléter les menus.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A ces zones de base s'ajoutent des composants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42">
      <w:pPr>
        <w:pageBreakBefore w:val="0"/>
        <w:numPr>
          <w:ilvl w:val="0"/>
          <w:numId w:val="1"/>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Le deuxième ticket destiné à être affiché sur le double écran</w:t>
      </w:r>
    </w:p>
    <w:p w:rsidR="00000000" w:rsidDel="00000000" w:rsidP="00000000" w:rsidRDefault="00000000" w:rsidRPr="00000000" w14:paraId="00000043">
      <w:pPr>
        <w:pageBreakBefore w:val="0"/>
        <w:numPr>
          <w:ilvl w:val="0"/>
          <w:numId w:val="1"/>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Une zone "Photo" qui affiche la photo de l'article en cours de vente</w:t>
      </w:r>
    </w:p>
    <w:p w:rsidR="00000000" w:rsidDel="00000000" w:rsidP="00000000" w:rsidRDefault="00000000" w:rsidRPr="00000000" w14:paraId="00000044">
      <w:pPr>
        <w:pageBreakBefore w:val="0"/>
        <w:numPr>
          <w:ilvl w:val="0"/>
          <w:numId w:val="1"/>
        </w:numPr>
        <w:pBdr>
          <w:top w:space="0" w:sz="0" w:val="nil"/>
          <w:left w:space="0" w:sz="0" w:val="nil"/>
          <w:bottom w:space="0" w:sz="0" w:val="nil"/>
          <w:right w:space="0" w:sz="0" w:val="nil"/>
          <w:between w:space="0" w:sz="0" w:val="nil"/>
        </w:pBdr>
        <w:shd w:fill="auto" w:val="clear"/>
        <w:ind w:left="94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222222"/>
          <w:sz w:val="20"/>
          <w:szCs w:val="20"/>
          <w:highlight w:val="white"/>
          <w:rtl w:val="0"/>
        </w:rPr>
        <w:t xml:space="preserve">Une zone "Browser" qui se connecte à l'URL associée à l'article en cours de vente (ou bien à une URL spécifiée dans LOCALConfig.xml)</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Exemple du contenu du fichier xml correspondant à un écran standard:</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&lt;Layout name="Standard"&gt;</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&lt;Padding left="1" right="1" top="1" bottom="1" /&gt;</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type="Header"&gt;&lt;Options version="1" info="1" date="1" time="1" notifier="1" /&gt;&lt;/Zone&gt;</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type="Ticket"&gt;</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y="0" col="35" row="45" /&gt;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type="Numpad"&gt;</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x="35" y="0" col="30" row="45" /&gt;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type="Grid"&gt;&lt;Options role="FAMILLES" /&gt;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x="65" y="0" col="35" row="45" /&gt;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type="Grid"&gt;&lt;Options role="FONCTIONS" /&gt;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y="45" col="100" row="10" /&gt;</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type="Grid"&gt;&lt;Options role="CLAVIER" /&gt;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y="55" col="100" row="45" /&gt;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type="Grid"&gt;&lt;Options role="VOLANTE" visible="0" /&gt;</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x="5" y="5" col="90" row="90" /&gt;</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type="Filler"&gt;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y="45" col="100" row="55" /&gt;</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type="TicketClient"&gt;</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y="0" col="35" row="100" monitor="2" /&gt;</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type="Photo"&gt;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x="35" y="0" col="65" row="65" monitor="2" /&gt;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type="Browser"&gt;</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x="35" y="65" col="65" row="35" monitor="2" /&gt;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&lt;/Layout&gt;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Les Layouts internes (rappel ticket, liste des tables et des commandes, liste des comptes et de la fidélité...) sont aussi gérés par ce système de Layout. La layout par défaut de Neptis est le layout "Standard", il est inclus en dur dans l'exécutable mais vous pouvez le recopier simplement en le re-définissant dans votre fichier LayoutConfig.xml.</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 Il y a aussi un Layout interne "Numpad" qui s'affiche automatiquement lorsque le système a besoin que l'utilisateur saisisse quelque chose sur le pavé numérique mais que celui-ci est caché (typiquement : demande de mot de passe pour valider l'action d'une touche ou d'une fonctions) et aussi un Layout "Saisie" (modifiable comme Standard) que vous pouvez afficher pour permettre l'utilisation d'une fonction comme TABLE (qui nécessite de saisir le numéro de table et le nombre de couverts).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Il est possible de définir une propriété "max-cols" dans les options d'une grille de boutons pour que dans un certain Layout elle ne puisse pas afficher plus que max-cols colonnes, même si la taille déclarée dans la base de données est plus grande. Très utile pour permettre de partager une configuration "caisse" (en mode paysage) avec un layout type "mobile" (en mode portrait) sans avoir à doublonner tous les claviers.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Le changement de Layout est possible (quand vous souhaitez basculer d’une config d’écran vers une autre) à la volée à l'aide de la fonction </w:t>
      </w:r>
      <w:r w:rsidDel="00000000" w:rsidR="00000000" w:rsidRPr="00000000">
        <w:rPr>
          <w:rFonts w:ascii="Trebuchet MS" w:cs="Trebuchet MS" w:eastAsia="Trebuchet MS" w:hAnsi="Trebuchet MS"/>
          <w:color w:val="cc0000"/>
          <w:sz w:val="20"/>
          <w:szCs w:val="20"/>
          <w:highlight w:val="white"/>
          <w:rtl w:val="0"/>
        </w:rPr>
        <w:t xml:space="preserve">#Layout# [NOM_LAYOUT] [NO_SAVE] [NO_REFRESH]</w:t>
      </w:r>
      <w:r w:rsidDel="00000000" w:rsidR="00000000" w:rsidRPr="00000000">
        <w:rPr>
          <w:rFonts w:ascii="Trebuchet MS" w:cs="Trebuchet MS" w:eastAsia="Trebuchet MS" w:hAnsi="Trebuchet MS"/>
          <w:color w:val="222222"/>
          <w:sz w:val="20"/>
          <w:szCs w:val="20"/>
          <w:highlight w:val="white"/>
          <w:rtl w:val="0"/>
        </w:rPr>
        <w:t xml:space="preserve">, l'option NO_SAVE permet d'éviter que ce nouveau Layout ne devienne le layout par défaut et NO_REFRESH permet d'éviter de recharger les fenêtres contenues dans le Layout), ces deux options sont utiles pour afficher le layout "Saisie". Si NOM_LAYOUT n'est pas spécifié, on switche sur le Layout par défaut.</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Le Layout de démarrage (qui devient alors le Layout par défaut) se configure dans LOCALConfig.xml:</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i w:val="1"/>
          <w:color w:val="222222"/>
          <w:sz w:val="20"/>
          <w:szCs w:val="20"/>
          <w:highlight w:val="white"/>
          <w:rtl w:val="0"/>
        </w:rPr>
        <w:t xml:space="preserve">&lt;layout&gt;nom du layout&lt;/layout</w:t>
      </w:r>
      <w:r w:rsidDel="00000000" w:rsidR="00000000" w:rsidRPr="00000000">
        <w:rPr>
          <w:rFonts w:ascii="Trebuchet MS" w:cs="Trebuchet MS" w:eastAsia="Trebuchet MS" w:hAnsi="Trebuchet MS"/>
          <w:color w:val="222222"/>
          <w:sz w:val="20"/>
          <w:szCs w:val="20"/>
          <w:highlight w:val="white"/>
          <w:rtl w:val="0"/>
        </w:rPr>
        <w:t xml:space="preserve">&gt;</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tl w:val="0"/>
        </w:rPr>
        <w:t xml:space="preserve">Quelques exemples de layouts: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Fonts w:ascii="Trebuchet MS" w:cs="Trebuchet MS" w:eastAsia="Trebuchet MS" w:hAnsi="Trebuchet MS"/>
          <w:color w:val="222222"/>
          <w:sz w:val="20"/>
          <w:szCs w:val="20"/>
          <w:highlight w:val="white"/>
        </w:rPr>
        <w:drawing>
          <wp:inline distB="114300" distT="114300" distL="114300" distR="114300">
            <wp:extent cx="2768963" cy="2080385"/>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68963" cy="208038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&lt;Layout name="PrimaGaucher"&gt;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&lt;Padding left="1" right="1" top="1" bottom="1" /&gt;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type="Header"&gt;&lt;Options version="1" info="1" date="1" time="1" notifier="1" /&gt;&lt;/Zone&gt;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type="Ticket"&gt;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x="65" y="0" col="35" row="60" /&gt;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type="Numpad"&gt;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x="65" y="60" col="35" row="40" /&gt;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type="Grid"&gt;&lt;Options role="FAMILLES" /&gt;</w:t>
      </w:r>
      <w:r w:rsidDel="00000000" w:rsidR="00000000" w:rsidRPr="00000000">
        <w:rPr>
          <w:rFonts w:ascii="Trebuchet MS" w:cs="Trebuchet MS" w:eastAsia="Trebuchet MS" w:hAnsi="Trebuchet MS"/>
          <w:color w:val="222222"/>
          <w:sz w:val="20"/>
          <w:szCs w:val="20"/>
          <w:highlight w:val="white"/>
        </w:rPr>
        <w:drawing>
          <wp:inline distB="114300" distT="114300" distL="114300" distR="114300">
            <wp:extent cx="3629025" cy="26289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62902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x="0" y="0" col="65" row="40" /&gt;</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type="Grid"&gt;&lt;Options role="FONCTIONS" /&gt;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x="0" y="40" col="65" row="10" /&gt;</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type="Grid"&gt;&lt;Options role="CLAVIER" /&gt;</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x="0" y="50" col="65" row="50" /&gt;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type="Grid"&gt;&lt;Options role="VOLANTE" visible="0" /&gt;</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x="5" y="5" col="90" row="90" /&gt;</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 type="Filler"&gt;</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&lt;Position x="40" y="40" col="60" row="60" /&gt;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&lt;/Zone&gt;</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highlight w:val="white"/>
        </w:rPr>
      </w:pPr>
      <w:r w:rsidDel="00000000" w:rsidR="00000000" w:rsidRPr="00000000">
        <w:rPr>
          <w:rFonts w:ascii="Trebuchet MS" w:cs="Trebuchet MS" w:eastAsia="Trebuchet MS" w:hAnsi="Trebuchet MS"/>
          <w:color w:val="3d85c6"/>
          <w:sz w:val="20"/>
          <w:szCs w:val="20"/>
          <w:highlight w:val="white"/>
          <w:rtl w:val="0"/>
        </w:rPr>
        <w:t xml:space="preserve">  &lt;/Layout&gt;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222222"/>
          <w:sz w:val="20"/>
          <w:szCs w:val="20"/>
          <w:highlight w:val="whit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Pr>
        <w:drawing>
          <wp:inline distB="114300" distT="114300" distL="114300" distR="114300">
            <wp:extent cx="3552825" cy="2676525"/>
            <wp:effectExtent b="0" l="0" r="0" t="0"/>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3552825" cy="2676525"/>
                    </a:xfrm>
                    <a:prstGeom prst="rect"/>
                    <a:ln/>
                  </pic:spPr>
                </pic:pic>
              </a:graphicData>
            </a:graphic>
          </wp:inline>
        </w:drawing>
      </w:r>
      <w:r w:rsidDel="00000000" w:rsidR="00000000" w:rsidRPr="00000000">
        <w:rPr>
          <w:rFonts w:ascii="Trebuchet MS" w:cs="Trebuchet MS" w:eastAsia="Trebuchet MS" w:hAnsi="Trebuchet MS"/>
          <w:sz w:val="20"/>
          <w:szCs w:val="20"/>
        </w:rPr>
        <w:drawing>
          <wp:inline distB="114300" distT="114300" distL="114300" distR="114300">
            <wp:extent cx="2678972" cy="2004037"/>
            <wp:effectExtent b="0" l="0" r="0" t="0"/>
            <wp:docPr id="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678972" cy="2004037"/>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&lt;Layout name="PrimaDroitier"&gt;</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&lt;Padding left="1" right="1" top="1" bottom="1" /&gt;</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type="Header"&gt;&lt;Options version="1" info="1" date="1" time="1" notifier="1" /&gt;&lt;/Zone&gt;</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type="Ticket"&gt;</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x="0" y="0" col="35" row="60" /&gt;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type="Numpad"&gt;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x="0" y="60" col="35" row="40" /&gt;</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role="FAMILLES" /&gt;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x="35" y="0" col="65" row="40" /&gt;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role="FONCTIONS" /&gt;</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x="35" y="40" col="65" row="10" /&gt;</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role="CLAVIER" /&gt;</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x="35" y="50" col="65" row="50" /&gt;</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role="VOLANTE" visible="0" /&gt;</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x="5" y="5" col="90" row="90" /&gt;</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type="Filler"&gt;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x="40" y="40" col="60" row="60" /&gt;</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&lt;/Layout&gt;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Pr>
        <w:drawing>
          <wp:inline distB="114300" distT="114300" distL="114300" distR="114300">
            <wp:extent cx="3590925" cy="2771775"/>
            <wp:effectExtent b="0" l="0" r="0" t="0"/>
            <wp:docPr id="1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590925" cy="2771775"/>
                    </a:xfrm>
                    <a:prstGeom prst="rect"/>
                    <a:ln/>
                  </pic:spPr>
                </pic:pic>
              </a:graphicData>
            </a:graphic>
          </wp:inline>
        </w:drawing>
      </w:r>
      <w:r w:rsidDel="00000000" w:rsidR="00000000" w:rsidRPr="00000000">
        <w:rPr>
          <w:rFonts w:ascii="Trebuchet MS" w:cs="Trebuchet MS" w:eastAsia="Trebuchet MS" w:hAnsi="Trebuchet MS"/>
          <w:sz w:val="20"/>
          <w:szCs w:val="20"/>
        </w:rPr>
        <w:drawing>
          <wp:inline distB="114300" distT="114300" distL="114300" distR="114300">
            <wp:extent cx="2026013" cy="3607572"/>
            <wp:effectExtent b="0" l="0" r="0" t="0"/>
            <wp:docPr id="5"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026013" cy="3607572"/>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&lt;Layout name="Mobile"&gt;</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&lt;Padding left="1" right="1" top="1" bottom="1" /&gt;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type="Header"&gt;&lt;Options version="1" info="1" date="1" time="1" notifier="1" /&gt;&lt;/Zone&gt;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type="Ticket"&gt;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x="0" y="0" col="75" row="80" /&gt;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role="FAMILLES" /&gt;</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x="0" y="65" col="65" row="35" /&gt;</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role="FONCTIONS" /&gt;</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x="80" y="0" col="75" row="10" /&gt;</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role="CLAVIER" /&gt;</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x="65" y="50" col="55" row="35" /&gt;</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type="Grid"&gt;&lt;Options role="VOLANTE" visible="0" /&gt;</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x="5" y="5" col="90" row="90" /&gt;</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 type="Filler"&gt;</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&lt;Position x="40" y="40" col="60" row="60" /&gt;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&lt;/Zone&gt;</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color w:val="3d85c6"/>
          <w:sz w:val="20"/>
          <w:szCs w:val="20"/>
        </w:rPr>
      </w:pPr>
      <w:r w:rsidDel="00000000" w:rsidR="00000000" w:rsidRPr="00000000">
        <w:rPr>
          <w:rFonts w:ascii="Trebuchet MS" w:cs="Trebuchet MS" w:eastAsia="Trebuchet MS" w:hAnsi="Trebuchet MS"/>
          <w:color w:val="3d85c6"/>
          <w:sz w:val="20"/>
          <w:szCs w:val="20"/>
          <w:rtl w:val="0"/>
        </w:rPr>
        <w:t xml:space="preserve">  &lt;/Layout&gt;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Élément et gadgets sur l’écran additionnel:</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&lt;Zone type="TicketClient"&gt;</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x="0" y="0" col="35" row="100" monitor="2" /&gt;</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Affiche le ticket de caisse (idem côté vendeur) en tenant compte de la taille et de la position définies.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type="Photo"&gt;</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x="35" y="0" col="65" row="65" monitor="2" /&gt;</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Affiche l’image liée au produit vendu configuré dans la fiche article en tenant compte des paramètres de position et taille définis. Il est possible de définir un image par défaut qui sera affichés dans le cas ou aucune image n’est affectée aux articles. Il est possible aussi de définir une image particulière à chaque finalisation de ticket. (Fin-tansaction)</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ind w:firstLine="720"/>
        <w:rPr>
          <w:rFonts w:ascii="Trebuchet MS" w:cs="Trebuchet MS" w:eastAsia="Trebuchet MS" w:hAnsi="Trebuchet MS"/>
          <w:i w:val="1"/>
          <w:sz w:val="20"/>
          <w:szCs w:val="20"/>
          <w:highlight w:val="white"/>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ind w:firstLine="720"/>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 xml:space="preserve">&lt;photo&gt;</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ab/>
        <w:tab/>
        <w:t xml:space="preserve">&lt;vide&gt;ecran/vide.jpg&lt;/vide&gt;</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ab/>
        <w:tab/>
        <w:t xml:space="preserve">&lt;fin-transaction&gt;ecran/fin.jpg&lt;/fin-transaction&gt;</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ab/>
        <w:t xml:space="preserve">&lt;/photo&gt;</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 type="Browser"&gt;</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&lt;Position x="35" y="65" col="65" row="35" monitor="2" /&gt;</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color w:val="6fa8dc"/>
          <w:sz w:val="20"/>
          <w:szCs w:val="20"/>
          <w:highlight w:val="white"/>
        </w:rPr>
      </w:pPr>
      <w:r w:rsidDel="00000000" w:rsidR="00000000" w:rsidRPr="00000000">
        <w:rPr>
          <w:rFonts w:ascii="Trebuchet MS" w:cs="Trebuchet MS" w:eastAsia="Trebuchet MS" w:hAnsi="Trebuchet MS"/>
          <w:i w:val="1"/>
          <w:color w:val="6fa8dc"/>
          <w:sz w:val="20"/>
          <w:szCs w:val="20"/>
          <w:highlight w:val="white"/>
          <w:rtl w:val="0"/>
        </w:rPr>
        <w:t xml:space="preserve">    &lt;/Zone&gt;</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Affiche une page web configurée dans la fiche article en tenant compte des paramètres de position et taille définis.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Il est possible de définir une “url” par défaut dans local.xml qui sera toujours affichée dans le cas ou aucune n’a été configurée dans les articles: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ind w:firstLine="720"/>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 xml:space="preserve">&lt;browser&gt;</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ab/>
        <w:t xml:space="preserve">&lt;url&gt;http://www.crisalid.com&lt;/url&gt;</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Fonts w:ascii="Trebuchet MS" w:cs="Trebuchet MS" w:eastAsia="Trebuchet MS" w:hAnsi="Trebuchet MS"/>
          <w:i w:val="1"/>
          <w:sz w:val="20"/>
          <w:szCs w:val="20"/>
          <w:highlight w:val="white"/>
          <w:rtl w:val="0"/>
        </w:rPr>
        <w:tab/>
        <w:t xml:space="preserve">&lt;/browser&gt;</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i w:val="1"/>
          <w:sz w:val="20"/>
          <w:szCs w:val="20"/>
          <w:highlight w:val="white"/>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Les objets utilisables sur le second écran:</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hyperlink r:id="rId14">
        <w:r w:rsidDel="00000000" w:rsidR="00000000" w:rsidRPr="00000000">
          <w:rPr>
            <w:rFonts w:ascii="Trebuchet MS" w:cs="Trebuchet MS" w:eastAsia="Trebuchet MS" w:hAnsi="Trebuchet MS"/>
            <w:color w:val="1155cc"/>
            <w:sz w:val="20"/>
            <w:szCs w:val="20"/>
            <w:highlight w:val="white"/>
            <w:u w:val="single"/>
            <w:rtl w:val="0"/>
          </w:rPr>
          <w:t xml:space="preserve">L’afficheur virtuel Crisalid</w:t>
        </w:r>
      </w:hyperlink>
      <w:r w:rsidDel="00000000" w:rsidR="00000000" w:rsidRPr="00000000">
        <w:rPr>
          <w:rFonts w:ascii="Trebuchet MS" w:cs="Trebuchet MS" w:eastAsia="Trebuchet MS" w:hAnsi="Trebuchet MS"/>
          <w:sz w:val="20"/>
          <w:szCs w:val="20"/>
          <w:highlight w:val="white"/>
          <w:rtl w:val="0"/>
        </w:rPr>
        <w:t xml:space="preserve"> : </w:t>
      </w:r>
      <w:r w:rsidDel="00000000" w:rsidR="00000000" w:rsidRPr="00000000">
        <w:rPr/>
        <w:drawing>
          <wp:inline distB="114300" distT="114300" distL="114300" distR="114300">
            <wp:extent cx="2854688" cy="751234"/>
            <wp:effectExtent b="0" l="0" r="0" t="0"/>
            <wp:docPr id="7"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854688" cy="751234"/>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highlight w:val="white"/>
        </w:rPr>
      </w:pPr>
      <w:r w:rsidDel="00000000" w:rsidR="00000000" w:rsidRPr="00000000">
        <w:rPr>
          <w:rFonts w:ascii="Trebuchet MS" w:cs="Trebuchet MS" w:eastAsia="Trebuchet MS" w:hAnsi="Trebuchet MS"/>
          <w:sz w:val="20"/>
          <w:szCs w:val="20"/>
          <w:highlight w:val="white"/>
          <w:rtl w:val="0"/>
        </w:rPr>
        <w:t xml:space="preserve">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Visionneuse de diaporama photos/video :</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xnview pour un affichage plein écran sur l’écran additionnel.</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Widget météo: télécharger l’utilitaire </w:t>
      </w:r>
      <w:hyperlink r:id="rId16">
        <w:r w:rsidDel="00000000" w:rsidR="00000000" w:rsidRPr="00000000">
          <w:rPr>
            <w:rFonts w:ascii="Trebuchet MS" w:cs="Trebuchet MS" w:eastAsia="Trebuchet MS" w:hAnsi="Trebuchet MS"/>
            <w:color w:val="1155cc"/>
            <w:sz w:val="20"/>
            <w:szCs w:val="20"/>
            <w:u w:val="single"/>
            <w:rtl w:val="0"/>
          </w:rPr>
          <w:t xml:space="preserve">ici: http://services.lachainemeteo.com/meteo-bureau/widget-meteo.php</w:t>
        </w:r>
      </w:hyperlink>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 widget garde sa position sur l’écran en mémoire.</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Pr>
        <w:drawing>
          <wp:inline distB="114300" distT="114300" distL="114300" distR="114300">
            <wp:extent cx="1990725" cy="904875"/>
            <wp:effectExtent b="0" l="0" r="0" t="0"/>
            <wp:docPr id="10"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99072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cliquer “bouton droit” sur le widget pour accéder au paramètres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Pr>
        <w:drawing>
          <wp:inline distB="114300" distT="114300" distL="114300" distR="114300">
            <wp:extent cx="1558628" cy="2406037"/>
            <wp:effectExtent b="0" l="0" r="0" t="0"/>
            <wp:docPr id="2"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1558628" cy="2406037"/>
                    </a:xfrm>
                    <a:prstGeom prst="rect"/>
                    <a:ln/>
                  </pic:spPr>
                </pic:pic>
              </a:graphicData>
            </a:graphic>
          </wp:inline>
        </w:drawing>
      </w:r>
      <w:r w:rsidDel="00000000" w:rsidR="00000000" w:rsidRPr="00000000">
        <w:rPr>
          <w:rtl w:val="0"/>
        </w:rPr>
      </w:r>
    </w:p>
    <w:sectPr>
      <w:footerReference r:id="rId19" w:type="default"/>
      <w:footerReference r:id="rId20"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3.png"/><Relationship Id="rId10"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4.png"/><Relationship Id="rId14" Type="http://schemas.openxmlformats.org/officeDocument/2006/relationships/hyperlink" Target="https://docs.google.com/a/crisalid.com/document/d/1Cg4lJnXitRa_lvRx4vHGPWHxYSvG9m81aENXLoX-Ulo/edit?usp=sharing" TargetMode="External"/><Relationship Id="rId17" Type="http://schemas.openxmlformats.org/officeDocument/2006/relationships/image" Target="media/image5.png"/><Relationship Id="rId16" Type="http://schemas.openxmlformats.org/officeDocument/2006/relationships/hyperlink" Target="http://services.lachainemeteo.com/meteo-bureau/widget-meteo.php"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6.jpg"/><Relationship Id="rId18"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