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16.377952755905" w:type="dxa"/>
        <w:jc w:val="center"/>
        <w:tblLayout w:type="fixed"/>
        <w:tblLook w:val="0600"/>
      </w:tblPr>
      <w:tblGrid>
        <w:gridCol w:w="1350"/>
        <w:gridCol w:w="930"/>
        <w:gridCol w:w="1350"/>
        <w:gridCol w:w="2580"/>
        <w:gridCol w:w="2250"/>
        <w:gridCol w:w="2256.377952755906"/>
        <w:tblGridChange w:id="0">
          <w:tblGrid>
            <w:gridCol w:w="1350"/>
            <w:gridCol w:w="930"/>
            <w:gridCol w:w="1350"/>
            <w:gridCol w:w="2580"/>
            <w:gridCol w:w="2250"/>
            <w:gridCol w:w="2256.377952755906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3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46100" cy="546100"/>
                  <wp:effectExtent b="0" l="0" r="0" t="0"/>
                  <wp:docPr id="3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46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16"/>
                <w:szCs w:val="16"/>
                <w:shd w:fill="efefef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shd w:fill="efefef" w:val="clear"/>
                <w:rtl w:val="0"/>
              </w:rPr>
              <w:t xml:space="preserve">Seul le document informatique fait foi</w:t>
            </w:r>
          </w:p>
        </w:tc>
      </w:tr>
      <w:tr>
        <w:trPr>
          <w:cantSplit w:val="0"/>
          <w:trHeight w:val="1280" w:hRule="atLeast"/>
          <w:tblHeader w:val="0"/>
        </w:trPr>
        <w:tc>
          <w:tcPr>
            <w:gridSpan w:val="3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4"/>
                <w:szCs w:val="24"/>
                <w:rtl w:val="0"/>
              </w:rPr>
              <w:t xml:space="preserve">Procédure installation du mode cascade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PRO-TEC-20061913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efefef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efefef" w:val="clear"/>
                <w:rtl w:val="0"/>
              </w:rPr>
              <w:t xml:space="preserve">Rédaction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efefef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efefef" w:val="clear"/>
                <w:rtl w:val="0"/>
              </w:rPr>
              <w:t xml:space="preserve">Validation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hd w:fill="efefef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efefef" w:val="clear"/>
                <w:rtl w:val="0"/>
              </w:rPr>
              <w:t xml:space="preserve">Objet de la révision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efefef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efefef" w:val="clear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efefef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efefef" w:val="clear"/>
                <w:rtl w:val="0"/>
              </w:rPr>
              <w:t xml:space="preserve">Version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highlight w:val="white"/>
                <w:rtl w:val="0"/>
              </w:rPr>
              <w:t xml:space="preserve">21-10-2018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Thierry MARTINOT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Regis FOLNY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Rédaction</w:t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Le mode cascade va permettre de mettre en place à la fois une version de dépannage liée à une sauvegarde locale :</w:t>
      </w:r>
    </w:p>
    <w:p w:rsidR="00000000" w:rsidDel="00000000" w:rsidP="00000000" w:rsidRDefault="00000000" w:rsidRPr="00000000" w14:paraId="00000024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line="240" w:lineRule="auto"/>
        <w:ind w:left="0" w:firstLine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line="240" w:lineRule="auto"/>
        <w:ind w:left="0" w:firstLine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line="240" w:lineRule="auto"/>
        <w:ind w:left="0" w:firstLine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pacing w:line="240" w:lineRule="auto"/>
        <w:ind w:left="0" w:firstLine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pacing w:line="240" w:lineRule="auto"/>
        <w:ind w:left="0" w:firstLine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b w:val="1"/>
          <w:i w:val="1"/>
          <w:rtl w:val="0"/>
        </w:rPr>
        <w:t xml:space="preserve">Mode dépannage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2B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spacing w:line="240" w:lineRule="auto"/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6667500" cy="4257675"/>
            <wp:effectExtent b="0" l="0" r="0" t="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4257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b w:val="1"/>
          <w:i w:val="1"/>
          <w:rtl w:val="0"/>
        </w:rPr>
        <w:t xml:space="preserve">Le mode cascade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3C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spacing w:line="240" w:lineRule="auto"/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6667500" cy="4324350"/>
            <wp:effectExtent b="0" l="0" r="0" t="0"/>
            <wp:docPr id="10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4324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La licence de la caisse maître doit être déclarée en mode central (afin de pouvoir récupérer automatiquement les tickets de la caisse esclave en cas de mode dégradé)</w:t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 licence de la caisse 2 doit-être déclarée en mode maître</w:t>
      </w:r>
    </w:p>
    <w:p w:rsidR="00000000" w:rsidDel="00000000" w:rsidP="00000000" w:rsidRDefault="00000000" w:rsidRPr="00000000" w14:paraId="00000043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1/ Configuration caisse par caisse :</w:t>
      </w:r>
    </w:p>
    <w:p w:rsidR="00000000" w:rsidDel="00000000" w:rsidP="00000000" w:rsidRDefault="00000000" w:rsidRPr="00000000" w14:paraId="00000046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Caisse 1 : indiquer l’adresse IP de la caisse 3 et </w:t>
      </w:r>
      <w:r w:rsidDel="00000000" w:rsidR="00000000" w:rsidRPr="00000000">
        <w:rPr>
          <w:b w:val="1"/>
          <w:rtl w:val="0"/>
        </w:rPr>
        <w:t xml:space="preserve">ne synchroniser que le data</w:t>
      </w:r>
      <w:r w:rsidDel="00000000" w:rsidR="00000000" w:rsidRPr="00000000">
        <w:rPr>
          <w:rtl w:val="0"/>
        </w:rPr>
        <w:t xml:space="preserve"> et pas le config !</w:t>
      </w:r>
    </w:p>
    <w:p w:rsidR="00000000" w:rsidDel="00000000" w:rsidP="00000000" w:rsidRDefault="00000000" w:rsidRPr="00000000" w14:paraId="0000004C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spacing w:line="240" w:lineRule="auto"/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6667500" cy="1762125"/>
            <wp:effectExtent b="0" l="0" r="0" t="0"/>
            <wp:docPr id="8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1762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Dans réseau et dépannage :</w:t>
      </w:r>
    </w:p>
    <w:p w:rsidR="00000000" w:rsidDel="00000000" w:rsidP="00000000" w:rsidRDefault="00000000" w:rsidRPr="00000000" w14:paraId="00000054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6667500" cy="2028825"/>
            <wp:effectExtent b="0" l="0" r="0" t="0"/>
            <wp:docPr id="9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2028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Caisse 2 : indiquer l’adresse IP de la caisse 1 et synchroniser Data et Config</w:t>
      </w:r>
    </w:p>
    <w:p w:rsidR="00000000" w:rsidDel="00000000" w:rsidP="00000000" w:rsidRDefault="00000000" w:rsidRPr="00000000" w14:paraId="0000005E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spacing w:line="240" w:lineRule="auto"/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6667500" cy="4257675"/>
            <wp:effectExtent b="0" l="0" r="0" t="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4257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Dans Réseau et dépannage :</w:t>
      </w:r>
    </w:p>
    <w:p w:rsidR="00000000" w:rsidDel="00000000" w:rsidP="00000000" w:rsidRDefault="00000000" w:rsidRPr="00000000" w14:paraId="00000072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Config 1</w:t>
      </w:r>
    </w:p>
    <w:p w:rsidR="00000000" w:rsidDel="00000000" w:rsidP="00000000" w:rsidRDefault="00000000" w:rsidRPr="00000000" w14:paraId="00000074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6667500" cy="2590800"/>
            <wp:effectExtent b="0" l="0" r="0" t="0"/>
            <wp:docPr id="7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259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Config 2 :</w:t>
      </w:r>
    </w:p>
    <w:p w:rsidR="00000000" w:rsidDel="00000000" w:rsidP="00000000" w:rsidRDefault="00000000" w:rsidRPr="00000000" w14:paraId="0000007F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6667500" cy="2514600"/>
            <wp:effectExtent b="0" l="0" r="0" t="0"/>
            <wp:docPr id="6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2514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Caisse 3 : indiquer l’adresse IP de la caisse 1 et </w:t>
      </w:r>
      <w:r w:rsidDel="00000000" w:rsidR="00000000" w:rsidRPr="00000000">
        <w:rPr>
          <w:b w:val="1"/>
          <w:rtl w:val="0"/>
        </w:rPr>
        <w:t xml:space="preserve">synchroniser uniquement le config</w:t>
      </w:r>
    </w:p>
    <w:p w:rsidR="00000000" w:rsidDel="00000000" w:rsidP="00000000" w:rsidRDefault="00000000" w:rsidRPr="00000000" w14:paraId="0000008E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spacing w:line="240" w:lineRule="auto"/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6840000" cy="4546600"/>
            <wp:effectExtent b="0" l="0" r="0" t="0"/>
            <wp:docPr id="1" name="image10.jpg"/>
            <a:graphic>
              <a:graphicData uri="http://schemas.openxmlformats.org/drawingml/2006/picture">
                <pic:pic>
                  <pic:nvPicPr>
                    <pic:cNvPr id="0" name="image10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4546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Dans Réseau et Dépannage :</w:t>
      </w:r>
    </w:p>
    <w:p w:rsidR="00000000" w:rsidDel="00000000" w:rsidP="00000000" w:rsidRDefault="00000000" w:rsidRPr="00000000" w14:paraId="00000095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Config 1</w:t>
      </w:r>
    </w:p>
    <w:p w:rsidR="00000000" w:rsidDel="00000000" w:rsidP="00000000" w:rsidRDefault="00000000" w:rsidRPr="00000000" w14:paraId="00000097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6667500" cy="2590800"/>
            <wp:effectExtent b="0" l="0" r="0" t="0"/>
            <wp:docPr id="11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259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Config 2 :</w:t>
      </w:r>
    </w:p>
    <w:p w:rsidR="00000000" w:rsidDel="00000000" w:rsidP="00000000" w:rsidRDefault="00000000" w:rsidRPr="00000000" w14:paraId="000000A1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6667500" cy="2324100"/>
            <wp:effectExtent b="0" l="0" r="0" t="0"/>
            <wp:docPr id="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2324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ind w:left="0" w:firstLine="0"/>
        <w:rPr>
          <w:b w:val="1"/>
          <w:i w:val="1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footerReference r:id="rId16" w:type="default"/>
      <w:footerReference r:id="rId17" w:type="first"/>
      <w:pgSz w:h="16838" w:w="11906" w:orient="portrait"/>
      <w:pgMar w:bottom="850.3937007874016" w:top="283.46456692913387" w:left="566.9291338582677" w:right="566.929133858267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rFonts w:ascii="Arial" w:cs="Arial" w:eastAsia="Arial" w:hAnsi="Arial"/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  <w:rtl w:val="0"/>
      </w:rPr>
      <w:t xml:space="preserve">                  </w:t>
    </w:r>
    <w:r w:rsidDel="00000000" w:rsidR="00000000" w:rsidRPr="00000000">
      <w:rPr>
        <w:rFonts w:ascii="Arial" w:cs="Arial" w:eastAsia="Arial" w:hAnsi="Arial"/>
        <w:color w:val="333333"/>
        <w:sz w:val="18"/>
        <w:szCs w:val="18"/>
        <w:highlight w:val="white"/>
        <w:rtl w:val="0"/>
      </w:rPr>
      <w:t xml:space="preserve">Ce document est la propriété exclusive de Crisalid - Ne pas transmettre ou reproduire sans autorisation</w:t>
    </w:r>
  </w:p>
  <w:p w:rsidR="00000000" w:rsidDel="00000000" w:rsidP="00000000" w:rsidRDefault="00000000" w:rsidRPr="00000000" w14:paraId="000000AE">
    <w:pPr>
      <w:pageBreakBefore w:val="0"/>
      <w:ind w:left="0" w:firstLine="0"/>
      <w:jc w:val="center"/>
      <w:rPr>
        <w:color w:val="333333"/>
        <w:sz w:val="18"/>
        <w:szCs w:val="18"/>
        <w:highlight w:val="white"/>
      </w:rPr>
    </w:pPr>
    <w:r w:rsidDel="00000000" w:rsidR="00000000" w:rsidRPr="00000000">
      <w:rPr>
        <w:rFonts w:ascii="Arial" w:cs="Arial" w:eastAsia="Arial" w:hAnsi="Arial"/>
        <w:color w:val="333333"/>
        <w:sz w:val="18"/>
        <w:szCs w:val="18"/>
        <w:highlight w:val="white"/>
        <w:rtl w:val="0"/>
      </w:rPr>
      <w:t xml:space="preserve">Seule la version informatique fait foi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  <w:rtl w:val="0"/>
      </w:rPr>
      <w:t xml:space="preserve">Crisalid 40 Avenue de la libération - 57160 - Châtel Saint Germain</w:t>
    </w:r>
  </w:p>
  <w:p w:rsidR="00000000" w:rsidDel="00000000" w:rsidP="00000000" w:rsidRDefault="00000000" w:rsidRPr="00000000" w14:paraId="000000B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Ubuntu" w:cs="Ubuntu" w:eastAsia="Ubuntu" w:hAnsi="Ubuntu"/>
        <w:lang w:val="fr"/>
      </w:rPr>
    </w:rPrDefault>
    <w:pPrDefault>
      <w:pPr>
        <w:spacing w:line="276" w:lineRule="auto"/>
        <w:ind w:left="-30" w:firstLine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" w:before="240" w:lineRule="auto"/>
      <w:ind w:left="0" w:firstLine="0"/>
    </w:pPr>
    <w:rPr>
      <w:rFonts w:ascii="Oswald" w:cs="Oswald" w:eastAsia="Oswald" w:hAnsi="Oswald"/>
      <w:color w:val="999999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Rule="auto"/>
    </w:pPr>
    <w:rPr>
      <w:rFonts w:ascii="Oswald" w:cs="Oswald" w:eastAsia="Oswald" w:hAnsi="Oswald"/>
      <w:color w:val="434343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  <w:ind w:left="0" w:firstLine="0"/>
    </w:pPr>
    <w:rPr>
      <w:rFonts w:ascii="Oswald" w:cs="Oswald" w:eastAsia="Oswald" w:hAnsi="Oswald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pageBreakBefore w:val="0"/>
    </w:pPr>
    <w:rPr>
      <w:rFonts w:ascii="Trebuchet MS" w:cs="Trebuchet MS" w:eastAsia="Trebuchet MS" w:hAnsi="Trebuchet MS"/>
      <w:i w:val="1"/>
      <w:color w:val="999999"/>
    </w:rPr>
  </w:style>
  <w:style w:type="paragraph" w:styleId="Heading5">
    <w:name w:val="heading 5"/>
    <w:basedOn w:val="Normal"/>
    <w:next w:val="Normal"/>
    <w:pPr>
      <w:pageBreakBefore w:val="0"/>
    </w:pPr>
    <w:rPr>
      <w:shd w:fill="fff2cc" w:val="clear"/>
    </w:rPr>
  </w:style>
  <w:style w:type="paragraph" w:styleId="Heading6">
    <w:name w:val="heading 6"/>
    <w:basedOn w:val="Normal"/>
    <w:next w:val="Normal"/>
    <w:pPr>
      <w:pageBreakBefore w:val="0"/>
    </w:pPr>
    <w:rPr>
      <w:shd w:fill="f4cccc" w:val="clear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60" w:lineRule="auto"/>
      <w:ind w:left="0" w:firstLine="0"/>
    </w:pPr>
    <w:rPr>
      <w:rFonts w:ascii="Oswald" w:cs="Oswald" w:eastAsia="Oswald" w:hAnsi="Oswald"/>
      <w:color w:val="666666"/>
      <w:sz w:val="24"/>
      <w:szCs w:val="24"/>
    </w:rPr>
  </w:style>
  <w:style w:type="paragraph" w:styleId="Subtitle">
    <w:name w:val="Subtitle"/>
    <w:basedOn w:val="Normal"/>
    <w:next w:val="Normal"/>
    <w:pPr>
      <w:pageBreakBefore w:val="0"/>
    </w:pPr>
    <w:rPr>
      <w:rFonts w:ascii="Trebuchet MS" w:cs="Trebuchet MS" w:eastAsia="Trebuchet MS" w:hAnsi="Trebuchet MS"/>
      <w:i w:val="1"/>
      <w:color w:val="999999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jpg"/><Relationship Id="rId10" Type="http://schemas.openxmlformats.org/officeDocument/2006/relationships/image" Target="media/image8.jpg"/><Relationship Id="rId13" Type="http://schemas.openxmlformats.org/officeDocument/2006/relationships/image" Target="media/image6.jpg"/><Relationship Id="rId12" Type="http://schemas.openxmlformats.org/officeDocument/2006/relationships/image" Target="media/image5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jpg"/><Relationship Id="rId15" Type="http://schemas.openxmlformats.org/officeDocument/2006/relationships/image" Target="media/image4.jpg"/><Relationship Id="rId14" Type="http://schemas.openxmlformats.org/officeDocument/2006/relationships/image" Target="media/image10.jpg"/><Relationship Id="rId17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image" Target="media/image9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