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4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280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Configuration du Backup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DOC-TEC-18010217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hd w:fill="d9d9d9" w:val="clear"/>
                <w:rtl w:val="0"/>
              </w:rPr>
              <w:t xml:space="preserve">02-01-2018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Gregory Gallier-Lachaise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Redaction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hd w:fill="d9d9d9" w:val="clear"/>
                <w:rtl w:val="0"/>
              </w:rPr>
              <w:t xml:space="preserve">19/06/2020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1.1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Grégory Gallier-Lachaise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Modifications suite nouvelle version</w:t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1/Accès à la configuration du Backup: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backup se configure depuis l’interface du serveur de caisse (http://localhost:33003/backup_config). Il est possible de définir l’heure de sauvegarde et le nb de backup consécutifs archivés.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667500" cy="3562350"/>
            <wp:effectExtent b="0" l="0" r="0" t="0"/>
            <wp:docPr id="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3562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  <w:color w:val="cc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Attention, il désormais nécessaire de choisir si on souhaite intégrer le “data.fbk” dans la sauvegarde :</w:t>
      </w:r>
    </w:p>
    <w:p w:rsidR="00000000" w:rsidDel="00000000" w:rsidP="00000000" w:rsidRDefault="00000000" w:rsidRPr="00000000" w14:paraId="0000003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753225" cy="1638300"/>
            <wp:effectExtent b="0" l="0" r="0" t="0"/>
            <wp:docPr id="2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163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40" w:lineRule="auto"/>
        <w:ind w:left="0" w:firstLine="0"/>
        <w:rPr>
          <w:rFonts w:ascii="Arial" w:cs="Arial" w:eastAsia="Arial" w:hAnsi="Arial"/>
          <w:b w:val="1"/>
          <w:color w:val="cc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Le débit internet du client peut ne pas être suffisant pour remonter le “data” et il doit-être mis en place un système de sauvegarde local sur un support dédié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  <w:color w:val="cc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  <w:color w:val="cc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  <w:color w:val="cc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  <w:color w:val="cc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  <w:color w:val="cc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  <w:color w:val="cc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  <w:color w:val="cc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cc0000"/>
          <w:sz w:val="24"/>
          <w:szCs w:val="24"/>
          <w:rtl w:val="0"/>
        </w:rPr>
        <w:t xml:space="preserve">Attention !!! Le service de Backup ne fonctionne que si l’accès aux bases de données est configuré en inet4: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  <w:color w:val="cc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  <w:b w:val="1"/>
          <w:color w:val="cc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842850" cy="2857500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2850" cy="285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sauvegardes locales se feront automatiquement dans le répertoire c:\programdata\crisalid\backup: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842850" cy="1841500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2850" cy="184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fichiers 7zip contiennent : 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bases de données de la caisse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fichiers de personnalisation (logos, images, modèles)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fichiers d’import et d’export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logs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archives fiscales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 répertoire Neptis contient le dernier backup des bases de données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2/Le backup cloud :</w:t>
      </w:r>
    </w:p>
    <w:p w:rsidR="00000000" w:rsidDel="00000000" w:rsidP="00000000" w:rsidRDefault="00000000" w:rsidRPr="00000000" w14:paraId="00000057">
      <w:pPr>
        <w:pageBreakBefore w:val="0"/>
        <w:spacing w:line="240" w:lineRule="auto"/>
        <w:ind w:lef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sauvegardes sont automatiquement disponibles sur le portail client : 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neptis.crisalid.xyz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sur la fiche du magasin :</w:t>
      </w:r>
    </w:p>
    <w:p w:rsidR="00000000" w:rsidDel="00000000" w:rsidP="00000000" w:rsidRDefault="00000000" w:rsidRPr="00000000" w14:paraId="00000059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6840000" cy="1549400"/>
            <wp:effectExtent b="0" l="0" r="0" t="0"/>
            <wp:docPr id="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40000" cy="1549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suffit alors de faire un clic droit sur le fichier pour le télécharger.</w:t>
      </w:r>
    </w:p>
    <w:p w:rsidR="00000000" w:rsidDel="00000000" w:rsidP="00000000" w:rsidRDefault="00000000" w:rsidRPr="00000000" w14:paraId="0000005C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un backup ne se fait pas, ce problème est directement signalé par un sigle rouge :</w:t>
      </w:r>
    </w:p>
    <w:p w:rsidR="00000000" w:rsidDel="00000000" w:rsidP="00000000" w:rsidRDefault="00000000" w:rsidRPr="00000000" w14:paraId="0000005E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2838450" cy="2390775"/>
            <wp:effectExtent b="0" l="0" r="0" t="0"/>
            <wp:docPr id="7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390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Une vérification régulière des backups est nécessaire pour s’assurer que les sauvegardes se font correctement.</w:t>
      </w:r>
    </w:p>
    <w:p w:rsidR="00000000" w:rsidDel="00000000" w:rsidP="00000000" w:rsidRDefault="00000000" w:rsidRPr="00000000" w14:paraId="00000062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3/Activation dans Crisalid Caisse: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backups ne seront actifs que pour les caisses dont l’option de backup est activée: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5169263" cy="262782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9263" cy="26278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15" w:type="default"/>
      <w:footerReference r:id="rId16" w:type="first"/>
      <w:pgSz w:h="16838" w:w="11906" w:orient="portrait"/>
      <w:pgMar w:bottom="850.3937007874016" w:top="283.46456692913387" w:left="566.9291338582677" w:right="566.929133858267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</w:p>
  <w:p w:rsidR="00000000" w:rsidDel="00000000" w:rsidP="00000000" w:rsidRDefault="00000000" w:rsidRPr="00000000" w14:paraId="0000006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Crisalid 40 Avenue de la libération - 57160 - Châtel Saint Germain</w:t>
    </w:r>
  </w:p>
  <w:p w:rsidR="00000000" w:rsidDel="00000000" w:rsidP="00000000" w:rsidRDefault="00000000" w:rsidRPr="00000000" w14:paraId="0000006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neptis.crisalid.xyz" TargetMode="External"/><Relationship Id="rId10" Type="http://schemas.openxmlformats.org/officeDocument/2006/relationships/image" Target="media/image5.png"/><Relationship Id="rId13" Type="http://schemas.openxmlformats.org/officeDocument/2006/relationships/image" Target="media/image8.jpg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1.xml"/><Relationship Id="rId14" Type="http://schemas.openxmlformats.org/officeDocument/2006/relationships/image" Target="media/image2.png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6.jpg"/><Relationship Id="rId8" Type="http://schemas.openxmlformats.org/officeDocument/2006/relationships/image" Target="media/image7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