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16.377952755905" w:type="dxa"/>
        <w:jc w:val="center"/>
        <w:tblLayout w:type="fixed"/>
        <w:tblLook w:val="0600"/>
      </w:tblPr>
      <w:tblGrid>
        <w:gridCol w:w="1350"/>
        <w:gridCol w:w="930"/>
        <w:gridCol w:w="1350"/>
        <w:gridCol w:w="2580"/>
        <w:gridCol w:w="2250"/>
        <w:gridCol w:w="2256.377952755906"/>
        <w:tblGridChange w:id="0">
          <w:tblGrid>
            <w:gridCol w:w="1350"/>
            <w:gridCol w:w="930"/>
            <w:gridCol w:w="1350"/>
            <w:gridCol w:w="2580"/>
            <w:gridCol w:w="2250"/>
            <w:gridCol w:w="2256.377952755906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46100" cy="546100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  <w:rtl w:val="0"/>
              </w:rPr>
              <w:t xml:space="preserve">Seul le document informatique fait foi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Procédure de migration simplifiée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PRO-TEC-17111714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Rédaction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Validation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Objet de la révision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Version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hd w:fill="d9d9d9" w:val="clear"/>
                <w:rtl w:val="0"/>
              </w:rPr>
              <w:t xml:space="preserve">17-11-2017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Emmanuel TONDRE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Regis FOLNY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Rédaction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0" w:firstLine="0"/>
        <w:rPr>
          <w:rFonts w:ascii="Trebuchet MS" w:cs="Trebuchet MS" w:eastAsia="Trebuchet MS" w:hAnsi="Trebuchet MS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0" w:firstLine="0"/>
        <w:rPr>
          <w:rFonts w:ascii="Trebuchet MS" w:cs="Trebuchet MS" w:eastAsia="Trebuchet MS" w:hAnsi="Trebuchet MS"/>
          <w:b w:val="1"/>
          <w:color w:val="2222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222222"/>
          <w:rtl w:val="0"/>
        </w:rPr>
        <w:t xml:space="preserve">Version 2 :</w:t>
      </w:r>
    </w:p>
    <w:p w:rsidR="00000000" w:rsidDel="00000000" w:rsidP="00000000" w:rsidRDefault="00000000" w:rsidRPr="00000000" w14:paraId="00000023">
      <w:pPr>
        <w:pageBreakBefore w:val="0"/>
        <w:ind w:left="0" w:firstLine="0"/>
        <w:rPr>
          <w:rFonts w:ascii="Trebuchet MS" w:cs="Trebuchet MS" w:eastAsia="Trebuchet MS" w:hAnsi="Trebuchet MS"/>
          <w:color w:val="990000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rtl w:val="0"/>
        </w:rPr>
        <w:t xml:space="preserve">- </w:t>
      </w:r>
      <w:r w:rsidDel="00000000" w:rsidR="00000000" w:rsidRPr="00000000">
        <w:rPr>
          <w:rFonts w:ascii="Trebuchet MS" w:cs="Trebuchet MS" w:eastAsia="Trebuchet MS" w:hAnsi="Trebuchet MS"/>
          <w:color w:val="990000"/>
          <w:rtl w:val="0"/>
        </w:rPr>
        <w:t xml:space="preserve">Clôtures, édition des financiers, et backup en lieu sûr.</w:t>
      </w:r>
    </w:p>
    <w:p w:rsidR="00000000" w:rsidDel="00000000" w:rsidP="00000000" w:rsidRDefault="00000000" w:rsidRPr="00000000" w14:paraId="00000024">
      <w:pPr>
        <w:pageBreakBefore w:val="0"/>
        <w:ind w:left="0" w:firstLine="0"/>
        <w:rPr>
          <w:rFonts w:ascii="Trebuchet MS" w:cs="Trebuchet MS" w:eastAsia="Trebuchet MS" w:hAnsi="Trebuchet MS"/>
          <w:color w:val="222222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rtl w:val="0"/>
        </w:rPr>
        <w:t xml:space="preserve">- Préparer un dossier, par exemple : C:\Migration dans lequel il y aura :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ind w:left="940" w:hanging="36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rtl w:val="0"/>
        </w:rPr>
        <w:t xml:space="preserve">NBDC.FDB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ind w:left="940" w:hanging="36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rtl w:val="0"/>
        </w:rPr>
        <w:t xml:space="preserve">NIHM.FDB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ind w:left="940" w:hanging="36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rtl w:val="0"/>
        </w:rPr>
        <w:t xml:space="preserve">LOCALConfig.xml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ind w:left="940" w:hanging="36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rtl w:val="0"/>
        </w:rPr>
        <w:t xml:space="preserve">IHMConfig.xml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ind w:left="940" w:hanging="36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rtl w:val="0"/>
        </w:rPr>
        <w:t xml:space="preserve">[ PERIPHConfig.xml ]</w:t>
      </w:r>
    </w:p>
    <w:p w:rsidR="00000000" w:rsidDel="00000000" w:rsidP="00000000" w:rsidRDefault="00000000" w:rsidRPr="00000000" w14:paraId="0000002A">
      <w:pPr>
        <w:pageBreakBefore w:val="0"/>
        <w:ind w:left="0" w:firstLine="0"/>
        <w:rPr>
          <w:rFonts w:ascii="Trebuchet MS" w:cs="Trebuchet MS" w:eastAsia="Trebuchet MS" w:hAnsi="Trebuchet MS"/>
          <w:color w:val="222222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rtl w:val="0"/>
        </w:rPr>
        <w:t xml:space="preserve">- Désinstaller Neptis 2 et toutes ses dépendances</w:t>
      </w:r>
    </w:p>
    <w:p w:rsidR="00000000" w:rsidDel="00000000" w:rsidP="00000000" w:rsidRDefault="00000000" w:rsidRPr="00000000" w14:paraId="0000002B">
      <w:pPr>
        <w:pageBreakBefore w:val="0"/>
        <w:ind w:left="0" w:firstLine="0"/>
        <w:rPr>
          <w:rFonts w:ascii="Trebuchet MS" w:cs="Trebuchet MS" w:eastAsia="Trebuchet MS" w:hAnsi="Trebuchet MS"/>
          <w:color w:val="222222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rtl w:val="0"/>
        </w:rPr>
        <w:t xml:space="preserve">- Désinstaller Firebird 2.1 (attention il faut supprimer le dossier de firebird dans C:\program Files\firebird)</w:t>
      </w:r>
    </w:p>
    <w:p w:rsidR="00000000" w:rsidDel="00000000" w:rsidP="00000000" w:rsidRDefault="00000000" w:rsidRPr="00000000" w14:paraId="0000002C">
      <w:pPr>
        <w:pageBreakBefore w:val="0"/>
        <w:ind w:left="0" w:firstLine="0"/>
        <w:rPr>
          <w:rFonts w:ascii="Trebuchet MS" w:cs="Trebuchet MS" w:eastAsia="Trebuchet MS" w:hAnsi="Trebuchet MS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left="0" w:firstLine="0"/>
        <w:rPr>
          <w:rFonts w:ascii="Trebuchet MS" w:cs="Trebuchet MS" w:eastAsia="Trebuchet MS" w:hAnsi="Trebuchet MS"/>
          <w:b w:val="1"/>
          <w:color w:val="2222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222222"/>
          <w:rtl w:val="0"/>
        </w:rPr>
        <w:t xml:space="preserve">Version 3 :</w:t>
      </w:r>
    </w:p>
    <w:p w:rsidR="00000000" w:rsidDel="00000000" w:rsidP="00000000" w:rsidRDefault="00000000" w:rsidRPr="00000000" w14:paraId="0000002E">
      <w:pPr>
        <w:pageBreakBefore w:val="0"/>
        <w:ind w:left="0" w:firstLine="0"/>
        <w:rPr>
          <w:rFonts w:ascii="Trebuchet MS" w:cs="Trebuchet MS" w:eastAsia="Trebuchet MS" w:hAnsi="Trebuchet MS"/>
          <w:color w:val="222222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rtl w:val="0"/>
        </w:rPr>
        <w:t xml:space="preserve">- Faire une demande de licence en amont (Client, Points, de Vente, Caisses et durée d'engagement)</w:t>
      </w:r>
    </w:p>
    <w:p w:rsidR="00000000" w:rsidDel="00000000" w:rsidP="00000000" w:rsidRDefault="00000000" w:rsidRPr="00000000" w14:paraId="0000002F">
      <w:pPr>
        <w:pageBreakBefore w:val="0"/>
        <w:ind w:left="0" w:firstLine="0"/>
        <w:rPr>
          <w:rFonts w:ascii="Trebuchet MS" w:cs="Trebuchet MS" w:eastAsia="Trebuchet MS" w:hAnsi="Trebuchet MS"/>
          <w:i w:val="1"/>
          <w:color w:val="222222"/>
        </w:rPr>
      </w:pPr>
      <w:r w:rsidDel="00000000" w:rsidR="00000000" w:rsidRPr="00000000">
        <w:rPr>
          <w:rFonts w:ascii="Trebuchet MS" w:cs="Trebuchet MS" w:eastAsia="Trebuchet MS" w:hAnsi="Trebuchet MS"/>
          <w:i w:val="1"/>
          <w:color w:val="222222"/>
          <w:rtl w:val="0"/>
        </w:rPr>
        <w:t xml:space="preserve">-&gt; Claire devra valider la licence pour la rendre activable !</w:t>
      </w:r>
    </w:p>
    <w:p w:rsidR="00000000" w:rsidDel="00000000" w:rsidP="00000000" w:rsidRDefault="00000000" w:rsidRPr="00000000" w14:paraId="00000030">
      <w:pPr>
        <w:pageBreakBefore w:val="0"/>
        <w:ind w:left="0" w:firstLine="0"/>
        <w:rPr>
          <w:rFonts w:ascii="Trebuchet MS" w:cs="Trebuchet MS" w:eastAsia="Trebuchet MS" w:hAnsi="Trebuchet MS"/>
          <w:i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ind w:left="0" w:firstLine="0"/>
        <w:rPr>
          <w:rFonts w:ascii="Trebuchet MS" w:cs="Trebuchet MS" w:eastAsia="Trebuchet MS" w:hAnsi="Trebuchet MS"/>
          <w:color w:val="222222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rtl w:val="0"/>
        </w:rPr>
        <w:t xml:space="preserve">- Installer Neptis 3</w:t>
      </w:r>
    </w:p>
    <w:p w:rsidR="00000000" w:rsidDel="00000000" w:rsidP="00000000" w:rsidRDefault="00000000" w:rsidRPr="00000000" w14:paraId="00000032">
      <w:pPr>
        <w:pageBreakBefore w:val="0"/>
        <w:ind w:left="0" w:firstLine="0"/>
        <w:rPr>
          <w:rFonts w:ascii="Trebuchet MS" w:cs="Trebuchet MS" w:eastAsia="Trebuchet MS" w:hAnsi="Trebuchet MS"/>
          <w:color w:val="222222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rtl w:val="0"/>
        </w:rPr>
        <w:t xml:space="preserve">- Lancer un navigateur (Attention il faut GOOGLE CHROME) sur </w:t>
      </w:r>
      <w:hyperlink r:id="rId7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http://localhost:33003</w:t>
        </w:r>
      </w:hyperlink>
      <w:r w:rsidDel="00000000" w:rsidR="00000000" w:rsidRPr="00000000">
        <w:rPr>
          <w:rFonts w:ascii="Trebuchet MS" w:cs="Trebuchet MS" w:eastAsia="Trebuchet MS" w:hAnsi="Trebuchet MS"/>
          <w:color w:val="222222"/>
          <w:rtl w:val="0"/>
        </w:rPr>
        <w:t xml:space="preserve">, aller dans l'onglet "Bases de données" pour créer les deux bases de données.</w:t>
      </w:r>
    </w:p>
    <w:p w:rsidR="00000000" w:rsidDel="00000000" w:rsidP="00000000" w:rsidRDefault="00000000" w:rsidRPr="00000000" w14:paraId="00000033">
      <w:pPr>
        <w:pageBreakBefore w:val="0"/>
        <w:ind w:left="0" w:firstLine="0"/>
        <w:rPr>
          <w:rFonts w:ascii="Trebuchet MS" w:cs="Trebuchet MS" w:eastAsia="Trebuchet MS" w:hAnsi="Trebuchet MS"/>
          <w:color w:val="222222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rtl w:val="0"/>
        </w:rPr>
        <w:t xml:space="preserve">- Redémarrer le serveur de caisse.</w:t>
      </w:r>
    </w:p>
    <w:p w:rsidR="00000000" w:rsidDel="00000000" w:rsidP="00000000" w:rsidRDefault="00000000" w:rsidRPr="00000000" w14:paraId="00000034">
      <w:pPr>
        <w:pageBreakBefore w:val="0"/>
        <w:ind w:left="0" w:firstLine="0"/>
        <w:rPr>
          <w:rFonts w:ascii="Trebuchet MS" w:cs="Trebuchet MS" w:eastAsia="Trebuchet MS" w:hAnsi="Trebuchet MS"/>
          <w:color w:val="222222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rtl w:val="0"/>
        </w:rPr>
        <w:t xml:space="preserve">- Lancer </w:t>
      </w: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Crisalid Encaissement v3</w:t>
      </w:r>
      <w:r w:rsidDel="00000000" w:rsidR="00000000" w:rsidRPr="00000000">
        <w:rPr>
          <w:rFonts w:ascii="Trebuchet MS" w:cs="Trebuchet MS" w:eastAsia="Trebuchet MS" w:hAnsi="Trebuchet MS"/>
          <w:color w:val="222222"/>
          <w:rtl w:val="0"/>
        </w:rPr>
        <w:t xml:space="preserve"> et activer la licence.</w:t>
      </w:r>
    </w:p>
    <w:p w:rsidR="00000000" w:rsidDel="00000000" w:rsidP="00000000" w:rsidRDefault="00000000" w:rsidRPr="00000000" w14:paraId="00000035">
      <w:pPr>
        <w:pageBreakBefore w:val="0"/>
        <w:ind w:left="0" w:firstLine="0"/>
        <w:rPr>
          <w:rFonts w:ascii="Trebuchet MS" w:cs="Trebuchet MS" w:eastAsia="Trebuchet MS" w:hAnsi="Trebuchet MS"/>
          <w:color w:val="222222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rtl w:val="0"/>
        </w:rPr>
        <w:t xml:space="preserve">- Définir la clôture quotidienne et la clôture d’exercice.</w:t>
      </w:r>
    </w:p>
    <w:p w:rsidR="00000000" w:rsidDel="00000000" w:rsidP="00000000" w:rsidRDefault="00000000" w:rsidRPr="00000000" w14:paraId="00000036">
      <w:pPr>
        <w:pageBreakBefore w:val="0"/>
        <w:ind w:left="0" w:firstLine="0"/>
        <w:rPr>
          <w:rFonts w:ascii="Trebuchet MS" w:cs="Trebuchet MS" w:eastAsia="Trebuchet MS" w:hAnsi="Trebuchet MS"/>
          <w:color w:val="222222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rtl w:val="0"/>
        </w:rPr>
        <w:t xml:space="preserve">- S’identifier avec le vendeur 99.</w:t>
      </w:r>
    </w:p>
    <w:p w:rsidR="00000000" w:rsidDel="00000000" w:rsidP="00000000" w:rsidRDefault="00000000" w:rsidRPr="00000000" w14:paraId="00000037">
      <w:pPr>
        <w:pageBreakBefore w:val="0"/>
        <w:ind w:left="0" w:firstLine="0"/>
        <w:rPr>
          <w:rFonts w:ascii="Trebuchet MS" w:cs="Trebuchet MS" w:eastAsia="Trebuchet MS" w:hAnsi="Trebuchet MS"/>
          <w:color w:val="222222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rtl w:val="0"/>
        </w:rPr>
        <w:t xml:space="preserve">- Quitter </w:t>
      </w: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Crisalid Encaissement v3.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left="0" w:firstLine="0"/>
        <w:rPr>
          <w:rFonts w:ascii="Trebuchet MS" w:cs="Trebuchet MS" w:eastAsia="Trebuchet MS" w:hAnsi="Trebuchet MS"/>
          <w:color w:val="222222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rtl w:val="0"/>
        </w:rPr>
        <w:t xml:space="preserve">- Depuis le navigateur (Attention il faut Google Chrome) (</w:t>
      </w:r>
      <w:hyperlink r:id="rId8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http://localhost:33003</w:t>
        </w:r>
      </w:hyperlink>
      <w:r w:rsidDel="00000000" w:rsidR="00000000" w:rsidRPr="00000000">
        <w:rPr>
          <w:rFonts w:ascii="Trebuchet MS" w:cs="Trebuchet MS" w:eastAsia="Trebuchet MS" w:hAnsi="Trebuchet MS"/>
          <w:color w:val="222222"/>
          <w:rtl w:val="0"/>
        </w:rPr>
        <w:t xml:space="preserve">) aller dans l'onglet "Migration".</w:t>
      </w:r>
    </w:p>
    <w:p w:rsidR="00000000" w:rsidDel="00000000" w:rsidP="00000000" w:rsidRDefault="00000000" w:rsidRPr="00000000" w14:paraId="00000039">
      <w:pPr>
        <w:pageBreakBefore w:val="0"/>
        <w:ind w:left="0" w:firstLine="0"/>
        <w:rPr>
          <w:rFonts w:ascii="Trebuchet MS" w:cs="Trebuchet MS" w:eastAsia="Trebuchet MS" w:hAnsi="Trebuchet MS"/>
          <w:color w:val="222222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rtl w:val="0"/>
        </w:rPr>
        <w:t xml:space="preserve">- Dans le champ qui prend toute la largeur de l'écran mettre le chemin du dossier migration : "C:\Migration" dans notre exemple.</w:t>
      </w:r>
    </w:p>
    <w:p w:rsidR="00000000" w:rsidDel="00000000" w:rsidP="00000000" w:rsidRDefault="00000000" w:rsidRPr="00000000" w14:paraId="0000003A">
      <w:pPr>
        <w:pageBreakBefore w:val="0"/>
        <w:ind w:left="0" w:firstLine="0"/>
        <w:rPr>
          <w:rFonts w:ascii="Trebuchet MS" w:cs="Trebuchet MS" w:eastAsia="Trebuchet MS" w:hAnsi="Trebuchet MS"/>
          <w:color w:val="222222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rtl w:val="0"/>
        </w:rPr>
        <w:t xml:space="preserve">- Cliquer sur “Migrer la configuration”.</w:t>
      </w:r>
    </w:p>
    <w:p w:rsidR="00000000" w:rsidDel="00000000" w:rsidP="00000000" w:rsidRDefault="00000000" w:rsidRPr="00000000" w14:paraId="0000003B">
      <w:pPr>
        <w:pageBreakBefore w:val="0"/>
        <w:ind w:left="0" w:firstLine="0"/>
        <w:rPr>
          <w:rFonts w:ascii="Trebuchet MS" w:cs="Trebuchet MS" w:eastAsia="Trebuchet MS" w:hAnsi="Trebuchet MS"/>
          <w:color w:val="222222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rtl w:val="0"/>
        </w:rPr>
        <w:t xml:space="preserve">- Dans mon cas la migration prend quelques minutes. Disons que quelque soit le client, ça devrait être fini en moins de 5 minutes.</w:t>
      </w:r>
    </w:p>
    <w:p w:rsidR="00000000" w:rsidDel="00000000" w:rsidP="00000000" w:rsidRDefault="00000000" w:rsidRPr="00000000" w14:paraId="0000003C">
      <w:pPr>
        <w:pageBreakBefore w:val="0"/>
        <w:ind w:left="0" w:firstLine="0"/>
        <w:rPr>
          <w:rFonts w:ascii="Trebuchet MS" w:cs="Trebuchet MS" w:eastAsia="Trebuchet MS" w:hAnsi="Trebuchet MS"/>
          <w:color w:val="222222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rtl w:val="0"/>
        </w:rPr>
        <w:t xml:space="preserve">- Retourner dans l’onglet migration.</w:t>
      </w:r>
    </w:p>
    <w:p w:rsidR="00000000" w:rsidDel="00000000" w:rsidP="00000000" w:rsidRDefault="00000000" w:rsidRPr="00000000" w14:paraId="0000003D">
      <w:pPr>
        <w:pageBreakBefore w:val="0"/>
        <w:ind w:left="0" w:firstLine="0"/>
        <w:rPr>
          <w:rFonts w:ascii="Trebuchet MS" w:cs="Trebuchet MS" w:eastAsia="Trebuchet MS" w:hAnsi="Trebuchet MS"/>
          <w:color w:val="222222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rtl w:val="0"/>
        </w:rPr>
        <w:t xml:space="preserve">- Dans le champ qui prend toute la largeur de l'écran mettre le chemin du dossier migration : "C:\Migration" dans notre exemple.</w:t>
      </w:r>
    </w:p>
    <w:p w:rsidR="00000000" w:rsidDel="00000000" w:rsidP="00000000" w:rsidRDefault="00000000" w:rsidRPr="00000000" w14:paraId="0000003E">
      <w:pPr>
        <w:pageBreakBefore w:val="0"/>
        <w:ind w:left="0" w:firstLine="0"/>
        <w:rPr>
          <w:rFonts w:ascii="Trebuchet MS" w:cs="Trebuchet MS" w:eastAsia="Trebuchet MS" w:hAnsi="Trebuchet MS"/>
          <w:color w:val="222222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rtl w:val="0"/>
        </w:rPr>
        <w:t xml:space="preserve">- Cliquer sur “migrer les soldes des comptes et les cartes de fidélité”.</w:t>
      </w:r>
    </w:p>
    <w:p w:rsidR="00000000" w:rsidDel="00000000" w:rsidP="00000000" w:rsidRDefault="00000000" w:rsidRPr="00000000" w14:paraId="0000003F">
      <w:pPr>
        <w:pageBreakBefore w:val="0"/>
        <w:ind w:left="0" w:firstLine="0"/>
        <w:rPr>
          <w:rFonts w:ascii="Trebuchet MS" w:cs="Trebuchet MS" w:eastAsia="Trebuchet MS" w:hAnsi="Trebuchet MS"/>
          <w:color w:val="222222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rtl w:val="0"/>
        </w:rPr>
        <w:t xml:space="preserve">- Fermer le Navigateur (Google Chrome).</w:t>
      </w:r>
    </w:p>
    <w:p w:rsidR="00000000" w:rsidDel="00000000" w:rsidP="00000000" w:rsidRDefault="00000000" w:rsidRPr="00000000" w14:paraId="00000040">
      <w:pPr>
        <w:pageBreakBefore w:val="0"/>
        <w:ind w:left="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- Relancer Crisalid Encaissement v3.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footerReference r:id="rId9" w:type="default"/>
      <w:footerReference r:id="rId10" w:type="first"/>
      <w:pgSz w:h="16838" w:w="11906" w:orient="portrait"/>
      <w:pgMar w:bottom="850.3937007874016" w:top="283.46456692913387" w:left="566.9291338582677" w:right="566.9291338582677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seule la version informatique fait foi</w:t>
    </w:r>
  </w:p>
  <w:p w:rsidR="00000000" w:rsidDel="00000000" w:rsidP="00000000" w:rsidRDefault="00000000" w:rsidRPr="00000000" w14:paraId="0000004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Crisalid 40 Avenue de la libération - 57160 - Châtel Saint Germain</w:t>
    </w:r>
  </w:p>
  <w:p w:rsidR="00000000" w:rsidDel="00000000" w:rsidP="00000000" w:rsidRDefault="00000000" w:rsidRPr="00000000" w14:paraId="0000004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19"/>
        <w:szCs w:val="1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buntu" w:cs="Ubuntu" w:eastAsia="Ubuntu" w:hAnsi="Ubuntu"/>
        <w:lang w:val="fr"/>
      </w:rPr>
    </w:rPrDefault>
    <w:pPrDefault>
      <w:pPr>
        <w:spacing w:line="276" w:lineRule="auto"/>
        <w:ind w:left="-30" w:firstLine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" w:before="240" w:lineRule="auto"/>
      <w:ind w:left="0" w:firstLine="0"/>
    </w:pPr>
    <w:rPr>
      <w:rFonts w:ascii="Oswald" w:cs="Oswald" w:eastAsia="Oswald" w:hAnsi="Oswald"/>
      <w:color w:val="999999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</w:pPr>
    <w:rPr>
      <w:rFonts w:ascii="Oswald" w:cs="Oswald" w:eastAsia="Oswald" w:hAnsi="Oswald"/>
      <w:color w:val="434343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paragraph" w:styleId="Heading5">
    <w:name w:val="heading 5"/>
    <w:basedOn w:val="Normal"/>
    <w:next w:val="Normal"/>
    <w:pPr>
      <w:pageBreakBefore w:val="0"/>
    </w:pPr>
    <w:rPr>
      <w:shd w:fill="fff2cc" w:val="clear"/>
    </w:rPr>
  </w:style>
  <w:style w:type="paragraph" w:styleId="Heading6">
    <w:name w:val="heading 6"/>
    <w:basedOn w:val="Normal"/>
    <w:next w:val="Normal"/>
    <w:pPr>
      <w:pageBreakBefore w:val="0"/>
    </w:pPr>
    <w:rPr>
      <w:shd w:fill="f4cccc" w:val="clear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Subtitle">
    <w:name w:val="Subtitle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localhost:33003/" TargetMode="External"/><Relationship Id="rId8" Type="http://schemas.openxmlformats.org/officeDocument/2006/relationships/hyperlink" Target="http://loclhost:33003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