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spacing w:line="240" w:lineRule="auto"/>
              <w:jc w:val="center"/>
              <w:rPr/>
            </w:pPr>
            <w:r w:rsidDel="00000000" w:rsidR="00000000" w:rsidRPr="00000000">
              <w:rPr/>
              <w:drawing>
                <wp:inline distB="114300" distT="114300" distL="114300" distR="114300">
                  <wp:extent cx="546100" cy="546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spacing w:line="240" w:lineRule="auto"/>
              <w:ind w:left="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Restauration des bases de données</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PRO-TEC-18092710</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27-09-2018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Emmanuel Tondre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spacing w:line="240" w:lineRule="auto"/>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5">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6">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Pour pouvoir restaurer des bases de données il faut que les bases config.fdb et data.fdb soient déjà présentes. Il faut donc faire la manipulation sur un poste où crisalid encaissement est installé et où les bases de données sont créées.</w:t>
      </w:r>
    </w:p>
    <w:p w:rsidR="00000000" w:rsidDel="00000000" w:rsidP="00000000" w:rsidRDefault="00000000" w:rsidRPr="00000000" w14:paraId="00000027">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8">
      <w:pPr>
        <w:pageBreakBefore w:val="0"/>
        <w:ind w:left="0" w:firstLine="0"/>
        <w:rPr>
          <w:rFonts w:ascii="Verdana" w:cs="Verdana" w:eastAsia="Verdana" w:hAnsi="Verdana"/>
          <w:sz w:val="22"/>
          <w:szCs w:val="22"/>
        </w:rPr>
      </w:pPr>
      <w:hyperlink r:id="rId7">
        <w:r w:rsidDel="00000000" w:rsidR="00000000" w:rsidRPr="00000000">
          <w:rPr>
            <w:rFonts w:ascii="Verdana" w:cs="Verdana" w:eastAsia="Verdana" w:hAnsi="Verdana"/>
            <w:color w:val="1155cc"/>
            <w:sz w:val="22"/>
            <w:szCs w:val="22"/>
            <w:u w:val="single"/>
            <w:rtl w:val="0"/>
          </w:rPr>
          <w:t xml:space="preserve">Télécharger le fichier en cliquant sur cette ligne</w:t>
        </w:r>
      </w:hyperlink>
      <w:r w:rsidDel="00000000" w:rsidR="00000000" w:rsidRPr="00000000">
        <w:rPr>
          <w:rtl w:val="0"/>
        </w:rPr>
      </w:r>
    </w:p>
    <w:p w:rsidR="00000000" w:rsidDel="00000000" w:rsidP="00000000" w:rsidRDefault="00000000" w:rsidRPr="00000000" w14:paraId="00000029">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A">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Ouvrir le fichier restoreBDD.bat avec le bloc note et vérifier le chemin de firebird, il y a deux chemins possible :</w:t>
      </w:r>
    </w:p>
    <w:p w:rsidR="00000000" w:rsidDel="00000000" w:rsidP="00000000" w:rsidRDefault="00000000" w:rsidRPr="00000000" w14:paraId="0000002B">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C:\Program Files\Firebird</w:t>
      </w:r>
    </w:p>
    <w:p w:rsidR="00000000" w:rsidDel="00000000" w:rsidP="00000000" w:rsidRDefault="00000000" w:rsidRPr="00000000" w14:paraId="0000002C">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C:\Program Files (x86)\Firebird</w:t>
      </w:r>
    </w:p>
    <w:p w:rsidR="00000000" w:rsidDel="00000000" w:rsidP="00000000" w:rsidRDefault="00000000" w:rsidRPr="00000000" w14:paraId="0000002D">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E">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Copier l’outil ainsi que les fichiers FBK dans le répertoire </w:t>
      </w:r>
    </w:p>
    <w:p w:rsidR="00000000" w:rsidDel="00000000" w:rsidP="00000000" w:rsidRDefault="00000000" w:rsidRPr="00000000" w14:paraId="0000002F">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C:\ProgramData\Crisalid\Caisse</w:t>
      </w:r>
    </w:p>
    <w:p w:rsidR="00000000" w:rsidDel="00000000" w:rsidP="00000000" w:rsidRDefault="00000000" w:rsidRPr="00000000" w14:paraId="00000030">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1">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Ouvrir l’invite de commande en tant qu’Administrateur</w:t>
      </w:r>
    </w:p>
    <w:p w:rsidR="00000000" w:rsidDel="00000000" w:rsidP="00000000" w:rsidRDefault="00000000" w:rsidRPr="00000000" w14:paraId="00000032">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3">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 positionner dans le répertoire </w:t>
      </w:r>
    </w:p>
    <w:p w:rsidR="00000000" w:rsidDel="00000000" w:rsidP="00000000" w:rsidRDefault="00000000" w:rsidRPr="00000000" w14:paraId="00000034">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C:\ProgramData\Crisalid\Caisse</w:t>
      </w:r>
    </w:p>
    <w:p w:rsidR="00000000" w:rsidDel="00000000" w:rsidP="00000000" w:rsidRDefault="00000000" w:rsidRPr="00000000" w14:paraId="00000035">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6">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Pour restaurer la base config il faut saisir la commande suivante :</w:t>
      </w:r>
    </w:p>
    <w:p w:rsidR="00000000" w:rsidDel="00000000" w:rsidP="00000000" w:rsidRDefault="00000000" w:rsidRPr="00000000" w14:paraId="00000037">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restoreBDD config</w:t>
      </w:r>
    </w:p>
    <w:p w:rsidR="00000000" w:rsidDel="00000000" w:rsidP="00000000" w:rsidRDefault="00000000" w:rsidRPr="00000000" w14:paraId="00000038">
      <w:pPr>
        <w:pageBreakBefore w:val="0"/>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9">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Pour restaurer la base data il faut saisir la commande suivante :</w:t>
      </w:r>
    </w:p>
    <w:p w:rsidR="00000000" w:rsidDel="00000000" w:rsidP="00000000" w:rsidRDefault="00000000" w:rsidRPr="00000000" w14:paraId="0000003A">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restoreBDD data</w:t>
      </w:r>
    </w:p>
    <w:p w:rsidR="00000000" w:rsidDel="00000000" w:rsidP="00000000" w:rsidRDefault="00000000" w:rsidRPr="00000000" w14:paraId="0000003B">
      <w:pPr>
        <w:pageBreakBefore w:val="0"/>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sectPr>
      <w:footerReference r:id="rId8" w:type="default"/>
      <w:footerReference r:id="rId9"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040">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Iy6kFaBDUA5TDl6vCmK2KObAvf-epe9I"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